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rPr>
          <w:rFonts w:cs="Arial" w:ascii="Arial" w:hAnsi="Arial"/>
          <w:color w:val="FFFFFF"/>
          <w:sz w:val="24"/>
          <w:szCs w:val="24"/>
        </w:rPr>
        <w:t xml:space="preserve">СОГЛАСОВАНО:              </w:t>
      </w:r>
      <w:r>
        <w:rPr>
          <w:rFonts w:cs="Arial" w:ascii="Arial" w:hAnsi="Arial"/>
          <w:sz w:val="24"/>
          <w:szCs w:val="24"/>
        </w:rPr>
        <w:t xml:space="preserve">                                                 </w:t>
      </w:r>
      <w:r>
        <w:rPr>
          <w:rFonts w:cs="Tahoma" w:ascii="Tahoma" w:hAnsi="Tahoma"/>
          <w:sz w:val="24"/>
          <w:szCs w:val="24"/>
        </w:rPr>
        <w:t xml:space="preserve">               </w:t>
      </w:r>
      <w:r>
        <w:rPr>
          <w:rFonts w:cs="Tahoma" w:ascii="Tahoma" w:hAnsi="Tahoma"/>
          <w:sz w:val="18"/>
          <w:szCs w:val="18"/>
        </w:rPr>
        <w:t xml:space="preserve">       УТВЕРЖДАЮ       </w:t>
      </w:r>
    </w:p>
    <w:p>
      <w:pPr>
        <w:pStyle w:val="Normal"/>
        <w:spacing w:lineRule="auto" w:line="240" w:before="0" w:after="0"/>
        <w:jc w:val="right"/>
        <w:rPr/>
      </w:pPr>
      <w:r>
        <w:rPr>
          <w:rFonts w:cs="Tahoma" w:ascii="Tahoma" w:hAnsi="Tahoma"/>
          <w:color w:val="FFFFFF"/>
          <w:sz w:val="18"/>
          <w:szCs w:val="18"/>
        </w:rPr>
        <w:t>Руководитель Производственно-</w:t>
      </w:r>
      <w:r>
        <w:rPr>
          <w:rFonts w:cs="Tahoma" w:ascii="Tahoma" w:hAnsi="Tahoma"/>
          <w:sz w:val="18"/>
          <w:szCs w:val="18"/>
        </w:rPr>
        <w:t xml:space="preserve">                          Начальник ЦКНС</w:t>
      </w:r>
    </w:p>
    <w:p>
      <w:pPr>
        <w:pStyle w:val="Normal"/>
        <w:spacing w:lineRule="auto" w:line="240" w:before="0" w:after="0"/>
        <w:rPr/>
      </w:pPr>
      <w:r>
        <w:rPr>
          <w:rFonts w:eastAsia="Tahoma" w:cs="Tahoma" w:ascii="Tahoma" w:hAnsi="Tahoma"/>
          <w:sz w:val="18"/>
          <w:szCs w:val="18"/>
        </w:rPr>
        <w:t xml:space="preserve"> </w:t>
      </w:r>
      <w:r>
        <w:rPr>
          <w:rFonts w:cs="Tahoma" w:ascii="Tahoma" w:hAnsi="Tahoma"/>
          <w:color w:val="FFFFFF"/>
          <w:sz w:val="18"/>
          <w:szCs w:val="18"/>
        </w:rPr>
        <w:t xml:space="preserve">__________________Гордеев С.А                                                             </w:t>
      </w:r>
      <w:r>
        <w:rPr>
          <w:rFonts w:cs="Tahoma" w:ascii="Tahoma" w:hAnsi="Tahoma"/>
          <w:sz w:val="18"/>
          <w:szCs w:val="18"/>
        </w:rPr>
        <w:t>_______________/                       /</w:t>
      </w:r>
      <w:r>
        <w:rPr>
          <w:sz w:val="18"/>
          <w:szCs w:val="1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ahoma" w:ascii="Tahoma" w:hAnsi="Tahoma"/>
          <w:sz w:val="18"/>
          <w:szCs w:val="18"/>
        </w:rPr>
        <w:t>ТЕХНИЧЕСКОЕ ЗАДАНИЕ №</w:t>
      </w:r>
    </w:p>
    <w:p>
      <w:pPr>
        <w:pStyle w:val="Normal"/>
        <w:spacing w:lineRule="auto" w:line="240"/>
        <w:jc w:val="center"/>
        <w:rPr/>
      </w:pPr>
      <w:r>
        <w:rPr>
          <w:rFonts w:cs="Tahoma" w:ascii="Tahoma" w:hAnsi="Tahoma"/>
          <w:sz w:val="20"/>
          <w:szCs w:val="18"/>
        </w:rPr>
        <w:t>на техническое обслуживание и ремонт насосных агрегатов и комплекса сооружений с заменой и монтажом оборудования</w:t>
      </w:r>
    </w:p>
    <w:p>
      <w:pPr>
        <w:pStyle w:val="Normal"/>
        <w:spacing w:lineRule="auto" w:line="240"/>
        <w:jc w:val="center"/>
        <w:rPr/>
      </w:pPr>
      <w:r>
        <w:rPr>
          <w:rFonts w:cs="Tahoma" w:ascii="Tahoma" w:hAnsi="Tahoma"/>
          <w:sz w:val="18"/>
          <w:szCs w:val="18"/>
        </w:rPr>
        <w:t>КНС-1,2,3,4,5,7,8,9,10,12,15,17,18,20,22,«Жиг. Сады», ТЦ «Касторама», «ул. Клары Цеткин 21», «КНС-6 просека», «КНС-7 просека»</w:t>
      </w:r>
    </w:p>
    <w:tbl>
      <w:tblPr>
        <w:tblW w:w="9718" w:type="dxa"/>
        <w:jc w:val="left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4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891"/>
        <w:gridCol w:w="6826"/>
      </w:tblGrid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Перечень основных данных и требования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cs="Tahoma" w:ascii="Tahoma" w:hAnsi="Tahoma"/>
                <w:b/>
                <w:sz w:val="18"/>
                <w:szCs w:val="18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1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/>
              <w:t>2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1. Заказчик (наименование, адрес, платежные и контактные реквизиты)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bidi w:val="0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ООО «Самарские коммунальные системы»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Почтовый адрес: 443056, г. Самара, ул. Луначарского,  д.56 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ИНН 6312110828 КПП 631050001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ОГРН 1116312008340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Р\С 40702810903370000034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Филиал ГПБ в г. Самаре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К/с 30101810000000000917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БИК 043601917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Главный управляющий директор Бирюков Владимир Вячеславович, 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действует на  доверенности  № 20 от 20.02.2021г.</w:t>
            </w:r>
          </w:p>
          <w:p>
            <w:pPr>
              <w:pStyle w:val="Normal"/>
              <w:bidi w:val="0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т.+7(846)336-14-02, факс +7(846)336-89-05</w:t>
            </w:r>
          </w:p>
          <w:p>
            <w:pPr>
              <w:pStyle w:val="Normal"/>
              <w:tabs>
                <w:tab w:val="left" w:pos="0" w:leader="none"/>
              </w:tabs>
              <w:bidi w:val="0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е-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mail</w:t>
            </w:r>
            <w:r>
              <w:rPr>
                <w:rFonts w:cs="Tahoma" w:ascii="Tahoma" w:hAnsi="Tahoma"/>
                <w:sz w:val="18"/>
                <w:szCs w:val="18"/>
              </w:rPr>
              <w:t>: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okr</w:t>
            </w:r>
            <w:r>
              <w:rPr>
                <w:rFonts w:cs="Tahoma" w:ascii="Tahoma" w:hAnsi="Tahoma"/>
                <w:sz w:val="18"/>
                <w:szCs w:val="18"/>
              </w:rPr>
              <w:t>@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samcomsys</w:t>
            </w:r>
            <w:r>
              <w:rPr>
                <w:rFonts w:cs="Tahoma" w:ascii="Tahoma" w:hAnsi="Tahoma"/>
                <w:sz w:val="18"/>
                <w:szCs w:val="18"/>
              </w:rPr>
              <w:t>.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ru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Основание для проведения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Производственная  программа на 2022 г.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3.Наименование и местоположение объекта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20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Канализационная насосная станция № 1,2,3,4,5,7,8,9,10,12,15,17,18,20,22,«Жиг. Сады», ТЦ «Касторама», «ул. Клары Цеткин 21», «КНС-6 просека», «КНС-7 просека».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4. Источник финансирования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Себестоимость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5. Цель и назначение работы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rFonts w:cs="Arial" w:ascii="Arial" w:hAnsi="Arial"/>
                <w:sz w:val="18"/>
                <w:szCs w:val="18"/>
              </w:rPr>
              <w:t>Проведение технического обслуживания и ремонта.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6. Основные технико-экономические показатели и характеристики объекта, в том числе мощность и производительность. Для линейных сооружений  - протяжность, условный диаметр.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 насос «Grundfos» Модель MTB 65/160.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КНС-2 насос «Grundfos» Модель SE1.80.100.75.A.4.51D.B.Z.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КНС-3 насос «Flygt» Модель NZ 3171.185 MT 53-432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КНС-4 насос «Grundfos» Модель SE1.85.150.100.4.52H.H.51D.Z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насос «Grundfos» Модель SE.150.100.4.52H.H.N.51D.A 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КНС-5 насос «Flygt» Модель NZ 3202.185 HT 53-454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КНС-7 насос «Flygt» NZ 3171.181 HT 53-453 -1 шт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КНС-8 насос «Grundfos» Модель SE.95.150.220.4.5.2H.H.N.51D — 2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       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насос «Flygt» Модель NZ 3202.185 HT 53-454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КНС-9 наоос «Grundfos» S2.100.200.1150.4.70H.H.404.G.N.D.- 1шт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КНС-10 насос «Flygt» Модель NZ 3202 185-S1980005—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КНС-12 насос «Flygt» Модель NZ 3315.185-S1970007—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КНС-15 насос «Flygt» Модель NZ 3171.185 SH 53-274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КНС-17 насос «Flygt» Модель NZ 3171.185 SH 53-274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КНС-18 насос «Flygt» Модель NZ 3202.185 MT 53-431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КНС-20 насос «Grundfos» S2.100.200.500.4.62L.H.290.G.N.D – 3 шт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КНС-22 насос «Flygt» Модель NZ 3202.185 SH 3-274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КНС-Жиг.сады насос «Flygt» Модель NZ 3153.181 SH 3-275 — 1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ул.Клары Цеткин 21 - 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насос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«KSB» Amarex KRT K80-251/222UG-S  - 2 шт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КНС-7 просека: сороулавливающая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корзина из нержавеющей стали с направляющими – 1шт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       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>КНС-6 просека: сороулавливающая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корзина из нержавеющей стали с направляющим – 1 шт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              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КНС-Касторама: - Направляющие из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>нержавеющей стали</w:t>
            </w:r>
            <w:r>
              <w:rPr>
                <w:rFonts w:ascii="Times New Roman" w:hAnsi="Times New Roman"/>
                <w:color w:val="00000A"/>
                <w:sz w:val="20"/>
                <w:szCs w:val="20"/>
              </w:rPr>
              <w:t xml:space="preserve"> Д-32 мм. 2 компл.      - Насоные агрегаты «Flygt» - 2 шт.</w:t>
            </w:r>
          </w:p>
          <w:p>
            <w:pPr>
              <w:pStyle w:val="Normal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>- сороулавливающая корзина из нержавеющей стали с направляющими – 1шт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 xml:space="preserve">- Переносной штатив-тренога с лебедкой 20м  - 1шт                                                                                                                                                                                                                                            (РАБОЧАЯ НАГРУЗКА, 750 КГ)   </w:t>
            </w:r>
          </w:p>
          <w:p>
            <w:pPr>
              <w:pStyle w:val="Normal"/>
              <w:suppressAutoHyphens w:val="true"/>
              <w:spacing w:lineRule="auto" w:line="240" w:before="0" w:after="0"/>
              <w:rPr>
                <w:rFonts w:ascii="Times New Roman" w:hAnsi="Times New Roman"/>
                <w:color w:val="00000A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shd w:fill="FFFFFF" w:val="clear"/>
              </w:rPr>
              <w:t>- Насос дренажный Tsurumi 80 м3/ч - 25м (в комплекте с напорным рукавом 20 метров) – 1шт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7. Режим работы производства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Круглосуточный режим работы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8. Состав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tabs>
                <w:tab w:val="left" w:pos="5805" w:leader="none"/>
              </w:tabs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Калькуляция стоимости работ по техническому обслуживанию и ремонту насосного оборудования марки «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Grundfos</w:t>
            </w:r>
            <w:r>
              <w:rPr>
                <w:rFonts w:cs="Tahoma" w:ascii="Tahoma" w:hAnsi="Tahoma"/>
                <w:sz w:val="18"/>
                <w:szCs w:val="18"/>
              </w:rPr>
              <w:t xml:space="preserve">, </w:t>
            </w:r>
            <w:r>
              <w:rPr>
                <w:rFonts w:cs="Tahoma" w:ascii="Tahoma" w:hAnsi="Tahoma"/>
                <w:sz w:val="18"/>
                <w:szCs w:val="18"/>
                <w:lang w:val="en-US"/>
              </w:rPr>
              <w:t>FLYGT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9. Состав  и виды работ выполняемых подрядчиком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см.п. №8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10. Требование к используемому оборудованию (включая источник поставки- заказчик/подрядчик, гарантийные требования, сроки поставки и пр.)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before="0" w:after="20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 xml:space="preserve">Работы выполняются силами, материалами и средствами подрядчика. Возможно применение материалов с аналогичными свойствами не ухудшающих качеств работ.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Подрядчик подтверждает статус сервисного партнера завода-изготовителя, предоставляет письмо от завода-изготовителя подтверждающее обеспечение гарантийных обязательств и сервисной поддержки.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11. Состав разделов документации и требования к их содержанию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Сертификаты качества на используемые материалы, акты на скрытые работы.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12. Оформление принимаемых решений в ходе выполнения 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Согласование отклонений в виде писем, актов.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13. Требования к технологическим решениям.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В соответствии с требованиями действующих нормативных документов.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14. Исходные данные для выполнения работ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см.п. №8 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15. Требования к сметной документации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16. Требования к природоохранным мероприятиям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Работы по соблюдению требований природоохранных мероприятий выполнять в соответствии с действующим законодательством.                                                  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17. Требования к архитектурным, конструктивным и объемно-планировочным решениям 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/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18.Требование к схеме планировочной организации земельного участка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19. Технические требования к технологическому оборудованию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Не требуется.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20. Требования к утилизации (захоронению) отходов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widowControl/>
              <w:suppressAutoHyphens w:val="false"/>
              <w:bidi w:val="0"/>
              <w:spacing w:lineRule="auto" w:line="276" w:before="0" w:after="200"/>
              <w:jc w:val="left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Образующиеся в процессе работ отходы (за исключением лома цветных и черных металлов) переходят в собственность к подрядчику с момента их образования. Подрядчик обеспечивает соблюдение требований законодательства в области обращения с отходами, в области охраны окружающей среды, несет ответственность за вывоз, обработку, безопасную утилизацию, размещение, за внесение платы за негативное воздействие на окружающую среду в результате размещения образованных отходов.                                                                                                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21. Требования к разработке  инженерно-технических мероприятий гражданской обороны и мероприятий  по предупреждению чрезвычайных ситуаций</w:t>
            </w:r>
            <w:r>
              <w:rPr>
                <w:rFonts w:eastAsia="Arial" w:cs="Tahoma" w:ascii="Tahoma" w:hAnsi="Tahoma"/>
                <w:sz w:val="18"/>
                <w:szCs w:val="18"/>
              </w:rPr>
              <w:t xml:space="preserve"> </w:t>
            </w:r>
            <w:r>
              <w:rPr>
                <w:rFonts w:cs="Tahoma" w:ascii="Tahoma" w:hAnsi="Tahoma"/>
                <w:sz w:val="18"/>
                <w:szCs w:val="18"/>
              </w:rPr>
              <w:t>(ИТМ ГОЧС)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Строгое соблюдение требований техники безопасности на объекте и норм производства работ.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22. Сроки выполнения работ (по основных этапам)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до 31 декабря 2022 года.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23. Требования по согласованию проектной документации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Не требуется.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24. Требования к составу и содержанию документов, передаваемых подрядчиком заказчику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  <w:t xml:space="preserve">Технический Акт сдачи-приёмки выполненных работ, Бухгалтерский Акт сдачи-приемки выполненных работ, исполнительные схемы, сертификаты качества на используемые материалы,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сертификат сервис-партнера</w:t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25. Требования по количеству экземпляров документации передаваемой заказчику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napToGrid w:val="false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 xml:space="preserve">1. Технический Акт сдачи-приёмки выполненных работ, исполнительные схемы, сертификаты качества на используемые материалы, </w:t>
            </w:r>
            <w:r>
              <w:rPr>
                <w:rFonts w:cs="Tahoma" w:ascii="Tahoma" w:hAnsi="Tahoma"/>
                <w:b/>
                <w:sz w:val="18"/>
                <w:szCs w:val="18"/>
              </w:rPr>
              <w:t>сертификат сервис-партнера</w:t>
            </w:r>
            <w:r>
              <w:rPr>
                <w:rFonts w:cs="Tahoma" w:ascii="Tahoma" w:hAnsi="Tahoma"/>
                <w:sz w:val="18"/>
                <w:szCs w:val="18"/>
              </w:rPr>
              <w:t xml:space="preserve"> — 2 экз.</w:t>
            </w:r>
          </w:p>
          <w:p>
            <w:pPr>
              <w:pStyle w:val="Normal"/>
              <w:snapToGrid w:val="false"/>
              <w:spacing w:lineRule="auto" w:line="240" w:before="0" w:after="0"/>
              <w:ind w:left="-63" w:right="-3" w:hanging="36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   2. Бухгалтерский Акт сдачи-приемки выполненных работ (УПД) - 3 экз.</w:t>
            </w:r>
          </w:p>
          <w:p>
            <w:pPr>
              <w:pStyle w:val="Normal"/>
              <w:snapToGrid w:val="false"/>
              <w:spacing w:lineRule="auto" w:line="240" w:before="0" w:after="0"/>
              <w:ind w:left="-63" w:right="-3" w:hanging="3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cs="Tahoma" w:ascii="Tahoma" w:hAnsi="Tahoma"/>
                <w:sz w:val="18"/>
                <w:szCs w:val="18"/>
              </w:rPr>
            </w:r>
          </w:p>
        </w:tc>
      </w:tr>
      <w:tr>
        <w:trPr/>
        <w:tc>
          <w:tcPr>
            <w:tcW w:w="28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cs="Tahoma" w:ascii="Tahoma" w:hAnsi="Tahoma"/>
                <w:sz w:val="18"/>
                <w:szCs w:val="18"/>
              </w:rPr>
              <w:t>26. Дополнительные требования и особые услови</w:t>
            </w:r>
          </w:p>
        </w:tc>
        <w:tc>
          <w:tcPr>
            <w:tcW w:w="6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color="auto" w:fill="auto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1. В случае необходимости дополнительные требования и условия согласовываются с заказчиком.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2. Возможна дополнительная корректировка объемов работ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Tahoma" w:ascii="Tahoma" w:hAnsi="Tahoma"/>
                <w:sz w:val="18"/>
                <w:szCs w:val="18"/>
              </w:rPr>
              <w:t>3. Работы будут осуществляться в условиях действующего производства.</w:t>
            </w:r>
          </w:p>
        </w:tc>
      </w:tr>
    </w:tbl>
    <w:p>
      <w:pPr>
        <w:pStyle w:val="Normal"/>
        <w:spacing w:lineRule="atLeast" w:line="100"/>
        <w:jc w:val="both"/>
        <w:rPr/>
      </w:pPr>
      <w:r>
        <w:rPr>
          <w:rFonts w:eastAsia="Tahoma" w:cs="Tahoma" w:ascii="Tahoma" w:hAnsi="Tahoma"/>
          <w:sz w:val="18"/>
          <w:szCs w:val="18"/>
        </w:rPr>
        <w:t xml:space="preserve">      </w:t>
      </w:r>
    </w:p>
    <w:p>
      <w:pPr>
        <w:pStyle w:val="Normal"/>
        <w:spacing w:lineRule="auto" w:line="240"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360" w:footer="0" w:bottom="539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48f4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Times New Roman" w:cs="Times New Roman"/>
      <w:color w:val="00000A"/>
      <w:sz w:val="22"/>
      <w:szCs w:val="22"/>
      <w:lang w:eastAsia="zh-CN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1748f4"/>
    <w:rPr/>
  </w:style>
  <w:style w:type="character" w:styleId="WW8Num1z1" w:customStyle="1">
    <w:name w:val="WW8Num1z1"/>
    <w:qFormat/>
    <w:rsid w:val="001748f4"/>
    <w:rPr/>
  </w:style>
  <w:style w:type="character" w:styleId="WW8Num1z2" w:customStyle="1">
    <w:name w:val="WW8Num1z2"/>
    <w:qFormat/>
    <w:rsid w:val="001748f4"/>
    <w:rPr/>
  </w:style>
  <w:style w:type="character" w:styleId="WW8Num1z3" w:customStyle="1">
    <w:name w:val="WW8Num1z3"/>
    <w:qFormat/>
    <w:rsid w:val="001748f4"/>
    <w:rPr/>
  </w:style>
  <w:style w:type="character" w:styleId="WW8Num1z4" w:customStyle="1">
    <w:name w:val="WW8Num1z4"/>
    <w:qFormat/>
    <w:rsid w:val="001748f4"/>
    <w:rPr/>
  </w:style>
  <w:style w:type="character" w:styleId="WW8Num1z5" w:customStyle="1">
    <w:name w:val="WW8Num1z5"/>
    <w:qFormat/>
    <w:rsid w:val="001748f4"/>
    <w:rPr/>
  </w:style>
  <w:style w:type="character" w:styleId="WW8Num1z6" w:customStyle="1">
    <w:name w:val="WW8Num1z6"/>
    <w:qFormat/>
    <w:rsid w:val="001748f4"/>
    <w:rPr/>
  </w:style>
  <w:style w:type="character" w:styleId="WW8Num1z7" w:customStyle="1">
    <w:name w:val="WW8Num1z7"/>
    <w:qFormat/>
    <w:rsid w:val="001748f4"/>
    <w:rPr/>
  </w:style>
  <w:style w:type="character" w:styleId="WW8Num1z8" w:customStyle="1">
    <w:name w:val="WW8Num1z8"/>
    <w:qFormat/>
    <w:rsid w:val="001748f4"/>
    <w:rPr/>
  </w:style>
  <w:style w:type="character" w:styleId="WW8Num2z0" w:customStyle="1">
    <w:name w:val="WW8Num2z0"/>
    <w:qFormat/>
    <w:rsid w:val="001748f4"/>
    <w:rPr/>
  </w:style>
  <w:style w:type="character" w:styleId="WW8Num2z1" w:customStyle="1">
    <w:name w:val="WW8Num2z1"/>
    <w:qFormat/>
    <w:rsid w:val="001748f4"/>
    <w:rPr/>
  </w:style>
  <w:style w:type="character" w:styleId="WW8Num2z2" w:customStyle="1">
    <w:name w:val="WW8Num2z2"/>
    <w:qFormat/>
    <w:rsid w:val="001748f4"/>
    <w:rPr/>
  </w:style>
  <w:style w:type="character" w:styleId="WW8Num2z3" w:customStyle="1">
    <w:name w:val="WW8Num2z3"/>
    <w:qFormat/>
    <w:rsid w:val="001748f4"/>
    <w:rPr/>
  </w:style>
  <w:style w:type="character" w:styleId="WW8Num2z4" w:customStyle="1">
    <w:name w:val="WW8Num2z4"/>
    <w:qFormat/>
    <w:rsid w:val="001748f4"/>
    <w:rPr/>
  </w:style>
  <w:style w:type="character" w:styleId="WW8Num2z5" w:customStyle="1">
    <w:name w:val="WW8Num2z5"/>
    <w:qFormat/>
    <w:rsid w:val="001748f4"/>
    <w:rPr/>
  </w:style>
  <w:style w:type="character" w:styleId="WW8Num2z6" w:customStyle="1">
    <w:name w:val="WW8Num2z6"/>
    <w:qFormat/>
    <w:rsid w:val="001748f4"/>
    <w:rPr/>
  </w:style>
  <w:style w:type="character" w:styleId="WW8Num2z7" w:customStyle="1">
    <w:name w:val="WW8Num2z7"/>
    <w:qFormat/>
    <w:rsid w:val="001748f4"/>
    <w:rPr/>
  </w:style>
  <w:style w:type="character" w:styleId="WW8Num2z8" w:customStyle="1">
    <w:name w:val="WW8Num2z8"/>
    <w:qFormat/>
    <w:rsid w:val="001748f4"/>
    <w:rPr/>
  </w:style>
  <w:style w:type="character" w:styleId="WW8Num3z0" w:customStyle="1">
    <w:name w:val="WW8Num3z0"/>
    <w:qFormat/>
    <w:rsid w:val="001748f4"/>
    <w:rPr/>
  </w:style>
  <w:style w:type="character" w:styleId="WW8Num3z1" w:customStyle="1">
    <w:name w:val="WW8Num3z1"/>
    <w:qFormat/>
    <w:rsid w:val="001748f4"/>
    <w:rPr/>
  </w:style>
  <w:style w:type="character" w:styleId="WW8Num3z2" w:customStyle="1">
    <w:name w:val="WW8Num3z2"/>
    <w:qFormat/>
    <w:rsid w:val="001748f4"/>
    <w:rPr/>
  </w:style>
  <w:style w:type="character" w:styleId="WW8Num3z3" w:customStyle="1">
    <w:name w:val="WW8Num3z3"/>
    <w:qFormat/>
    <w:rsid w:val="001748f4"/>
    <w:rPr/>
  </w:style>
  <w:style w:type="character" w:styleId="WW8Num3z4" w:customStyle="1">
    <w:name w:val="WW8Num3z4"/>
    <w:qFormat/>
    <w:rsid w:val="001748f4"/>
    <w:rPr/>
  </w:style>
  <w:style w:type="character" w:styleId="WW8Num3z5" w:customStyle="1">
    <w:name w:val="WW8Num3z5"/>
    <w:qFormat/>
    <w:rsid w:val="001748f4"/>
    <w:rPr/>
  </w:style>
  <w:style w:type="character" w:styleId="WW8Num3z6" w:customStyle="1">
    <w:name w:val="WW8Num3z6"/>
    <w:qFormat/>
    <w:rsid w:val="001748f4"/>
    <w:rPr/>
  </w:style>
  <w:style w:type="character" w:styleId="WW8Num3z7" w:customStyle="1">
    <w:name w:val="WW8Num3z7"/>
    <w:qFormat/>
    <w:rsid w:val="001748f4"/>
    <w:rPr/>
  </w:style>
  <w:style w:type="character" w:styleId="WW8Num3z8" w:customStyle="1">
    <w:name w:val="WW8Num3z8"/>
    <w:qFormat/>
    <w:rsid w:val="001748f4"/>
    <w:rPr/>
  </w:style>
  <w:style w:type="character" w:styleId="WW8Num4z0" w:customStyle="1">
    <w:name w:val="WW8Num4z0"/>
    <w:qFormat/>
    <w:rsid w:val="001748f4"/>
    <w:rPr/>
  </w:style>
  <w:style w:type="character" w:styleId="WW8Num4z1" w:customStyle="1">
    <w:name w:val="WW8Num4z1"/>
    <w:qFormat/>
    <w:rsid w:val="001748f4"/>
    <w:rPr/>
  </w:style>
  <w:style w:type="character" w:styleId="WW8Num4z2" w:customStyle="1">
    <w:name w:val="WW8Num4z2"/>
    <w:qFormat/>
    <w:rsid w:val="001748f4"/>
    <w:rPr/>
  </w:style>
  <w:style w:type="character" w:styleId="WW8Num4z3" w:customStyle="1">
    <w:name w:val="WW8Num4z3"/>
    <w:qFormat/>
    <w:rsid w:val="001748f4"/>
    <w:rPr/>
  </w:style>
  <w:style w:type="character" w:styleId="WW8Num4z4" w:customStyle="1">
    <w:name w:val="WW8Num4z4"/>
    <w:qFormat/>
    <w:rsid w:val="001748f4"/>
    <w:rPr/>
  </w:style>
  <w:style w:type="character" w:styleId="WW8Num4z5" w:customStyle="1">
    <w:name w:val="WW8Num4z5"/>
    <w:qFormat/>
    <w:rsid w:val="001748f4"/>
    <w:rPr/>
  </w:style>
  <w:style w:type="character" w:styleId="WW8Num4z6" w:customStyle="1">
    <w:name w:val="WW8Num4z6"/>
    <w:qFormat/>
    <w:rsid w:val="001748f4"/>
    <w:rPr/>
  </w:style>
  <w:style w:type="character" w:styleId="WW8Num4z7" w:customStyle="1">
    <w:name w:val="WW8Num4z7"/>
    <w:qFormat/>
    <w:rsid w:val="001748f4"/>
    <w:rPr/>
  </w:style>
  <w:style w:type="character" w:styleId="WW8Num4z8" w:customStyle="1">
    <w:name w:val="WW8Num4z8"/>
    <w:qFormat/>
    <w:rsid w:val="001748f4"/>
    <w:rPr/>
  </w:style>
  <w:style w:type="character" w:styleId="WW8Num5z0" w:customStyle="1">
    <w:name w:val="WW8Num5z0"/>
    <w:qFormat/>
    <w:rsid w:val="001748f4"/>
    <w:rPr/>
  </w:style>
  <w:style w:type="character" w:styleId="WW8Num5z1" w:customStyle="1">
    <w:name w:val="WW8Num5z1"/>
    <w:qFormat/>
    <w:rsid w:val="001748f4"/>
    <w:rPr/>
  </w:style>
  <w:style w:type="character" w:styleId="WW8Num5z2" w:customStyle="1">
    <w:name w:val="WW8Num5z2"/>
    <w:qFormat/>
    <w:rsid w:val="001748f4"/>
    <w:rPr/>
  </w:style>
  <w:style w:type="character" w:styleId="WW8Num5z3" w:customStyle="1">
    <w:name w:val="WW8Num5z3"/>
    <w:qFormat/>
    <w:rsid w:val="001748f4"/>
    <w:rPr/>
  </w:style>
  <w:style w:type="character" w:styleId="WW8Num5z4" w:customStyle="1">
    <w:name w:val="WW8Num5z4"/>
    <w:qFormat/>
    <w:rsid w:val="001748f4"/>
    <w:rPr/>
  </w:style>
  <w:style w:type="character" w:styleId="WW8Num5z5" w:customStyle="1">
    <w:name w:val="WW8Num5z5"/>
    <w:qFormat/>
    <w:rsid w:val="001748f4"/>
    <w:rPr/>
  </w:style>
  <w:style w:type="character" w:styleId="WW8Num5z6" w:customStyle="1">
    <w:name w:val="WW8Num5z6"/>
    <w:qFormat/>
    <w:rsid w:val="001748f4"/>
    <w:rPr/>
  </w:style>
  <w:style w:type="character" w:styleId="WW8Num5z7" w:customStyle="1">
    <w:name w:val="WW8Num5z7"/>
    <w:qFormat/>
    <w:rsid w:val="001748f4"/>
    <w:rPr/>
  </w:style>
  <w:style w:type="character" w:styleId="WW8Num5z8" w:customStyle="1">
    <w:name w:val="WW8Num5z8"/>
    <w:qFormat/>
    <w:rsid w:val="001748f4"/>
    <w:rPr/>
  </w:style>
  <w:style w:type="character" w:styleId="WW8Num6z0" w:customStyle="1">
    <w:name w:val="WW8Num6z0"/>
    <w:qFormat/>
    <w:rsid w:val="001748f4"/>
    <w:rPr/>
  </w:style>
  <w:style w:type="character" w:styleId="WW8Num6z1" w:customStyle="1">
    <w:name w:val="WW8Num6z1"/>
    <w:qFormat/>
    <w:rsid w:val="001748f4"/>
    <w:rPr/>
  </w:style>
  <w:style w:type="character" w:styleId="WW8Num6z2" w:customStyle="1">
    <w:name w:val="WW8Num6z2"/>
    <w:qFormat/>
    <w:rsid w:val="001748f4"/>
    <w:rPr/>
  </w:style>
  <w:style w:type="character" w:styleId="WW8Num6z3" w:customStyle="1">
    <w:name w:val="WW8Num6z3"/>
    <w:qFormat/>
    <w:rsid w:val="001748f4"/>
    <w:rPr/>
  </w:style>
  <w:style w:type="character" w:styleId="WW8Num6z4" w:customStyle="1">
    <w:name w:val="WW8Num6z4"/>
    <w:qFormat/>
    <w:rsid w:val="001748f4"/>
    <w:rPr/>
  </w:style>
  <w:style w:type="character" w:styleId="WW8Num6z5" w:customStyle="1">
    <w:name w:val="WW8Num6z5"/>
    <w:qFormat/>
    <w:rsid w:val="001748f4"/>
    <w:rPr/>
  </w:style>
  <w:style w:type="character" w:styleId="WW8Num6z6" w:customStyle="1">
    <w:name w:val="WW8Num6z6"/>
    <w:qFormat/>
    <w:rsid w:val="001748f4"/>
    <w:rPr/>
  </w:style>
  <w:style w:type="character" w:styleId="WW8Num6z7" w:customStyle="1">
    <w:name w:val="WW8Num6z7"/>
    <w:qFormat/>
    <w:rsid w:val="001748f4"/>
    <w:rPr/>
  </w:style>
  <w:style w:type="character" w:styleId="WW8Num6z8" w:customStyle="1">
    <w:name w:val="WW8Num6z8"/>
    <w:qFormat/>
    <w:rsid w:val="001748f4"/>
    <w:rPr/>
  </w:style>
  <w:style w:type="character" w:styleId="1" w:customStyle="1">
    <w:name w:val="Основной шрифт абзаца1"/>
    <w:qFormat/>
    <w:rsid w:val="001748f4"/>
    <w:rPr/>
  </w:style>
  <w:style w:type="character" w:styleId="ListLabel1" w:customStyle="1">
    <w:name w:val="ListLabel 1"/>
    <w:qFormat/>
    <w:rPr>
      <w:highlight w:val="yellow"/>
      <w:lang w:val="en-US"/>
    </w:rPr>
  </w:style>
  <w:style w:type="character" w:styleId="ListLabel2" w:customStyle="1">
    <w:name w:val="ListLabel 2"/>
    <w:qFormat/>
    <w:rPr>
      <w:rFonts w:cs="Arial"/>
    </w:rPr>
  </w:style>
  <w:style w:type="character" w:styleId="ListLabel3" w:customStyle="1">
    <w:name w:val="ListLabel 3"/>
    <w:qFormat/>
    <w:rPr>
      <w:highlight w:val="yellow"/>
      <w:lang w:val="en-US"/>
    </w:rPr>
  </w:style>
  <w:style w:type="character" w:styleId="ListLabel4" w:customStyle="1">
    <w:name w:val="ListLabel 4"/>
    <w:qFormat/>
    <w:rPr>
      <w:highlight w:val="yellow"/>
      <w:lang w:val="en-US"/>
    </w:rPr>
  </w:style>
  <w:style w:type="character" w:styleId="ListLabel5" w:customStyle="1">
    <w:name w:val="ListLabel 5"/>
    <w:qFormat/>
    <w:rPr>
      <w:highlight w:val="yellow"/>
      <w:lang w:val="en-US"/>
    </w:rPr>
  </w:style>
  <w:style w:type="character" w:styleId="ListLabel6" w:customStyle="1">
    <w:name w:val="ListLabel 6"/>
    <w:qFormat/>
    <w:rPr>
      <w:highlight w:val="yellow"/>
      <w:lang w:val="en-US"/>
    </w:rPr>
  </w:style>
  <w:style w:type="character" w:styleId="ListLabel7" w:customStyle="1">
    <w:name w:val="ListLabel 7"/>
    <w:qFormat/>
    <w:rPr>
      <w:highlight w:val="yellow"/>
      <w:lang w:val="en-US"/>
    </w:rPr>
  </w:style>
  <w:style w:type="character" w:styleId="ListLabel8" w:customStyle="1">
    <w:name w:val="ListLabel 8"/>
    <w:qFormat/>
    <w:rPr>
      <w:highlight w:val="yellow"/>
      <w:lang w:val="en-US"/>
    </w:rPr>
  </w:style>
  <w:style w:type="character" w:styleId="ListLabel9" w:customStyle="1">
    <w:name w:val="ListLabel 9"/>
    <w:qFormat/>
    <w:rPr>
      <w:highlight w:val="yellow"/>
      <w:lang w:val="en-US"/>
    </w:rPr>
  </w:style>
  <w:style w:type="paragraph" w:styleId="Style14" w:customStyle="1">
    <w:name w:val="Заголовок"/>
    <w:basedOn w:val="Normal"/>
    <w:next w:val="Style15"/>
    <w:qFormat/>
    <w:rsid w:val="001748f4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tyle15">
    <w:name w:val="Body Text"/>
    <w:basedOn w:val="Normal"/>
    <w:rsid w:val="001748f4"/>
    <w:pPr>
      <w:spacing w:before="0" w:after="120"/>
    </w:pPr>
    <w:rPr/>
  </w:style>
  <w:style w:type="paragraph" w:styleId="Style16">
    <w:name w:val="List"/>
    <w:basedOn w:val="Style15"/>
    <w:rsid w:val="001748f4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rsid w:val="001748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rsid w:val="001748f4"/>
    <w:pPr>
      <w:suppressLineNumbers/>
    </w:pPr>
    <w:rPr>
      <w:rFonts w:cs="Mangal"/>
    </w:rPr>
  </w:style>
  <w:style w:type="paragraph" w:styleId="11" w:customStyle="1">
    <w:name w:val="Название объекта1"/>
    <w:basedOn w:val="Normal"/>
    <w:qFormat/>
    <w:rsid w:val="001748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2" w:customStyle="1">
    <w:name w:val="Указатель1"/>
    <w:basedOn w:val="Normal"/>
    <w:qFormat/>
    <w:rsid w:val="001748f4"/>
    <w:pPr>
      <w:suppressLineNumbers/>
    </w:pPr>
    <w:rPr>
      <w:rFonts w:cs="Mangal"/>
    </w:rPr>
  </w:style>
  <w:style w:type="paragraph" w:styleId="Style19" w:customStyle="1">
    <w:name w:val="Содержимое таблицы"/>
    <w:basedOn w:val="Normal"/>
    <w:qFormat/>
    <w:rsid w:val="001748f4"/>
    <w:pPr>
      <w:suppressLineNumbers/>
    </w:pPr>
    <w:rPr/>
  </w:style>
  <w:style w:type="paragraph" w:styleId="Style20" w:customStyle="1">
    <w:name w:val="Заголовок таблицы"/>
    <w:basedOn w:val="Style19"/>
    <w:qFormat/>
    <w:rsid w:val="001748f4"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Application>LibreOffice/5.3.2.2$Windows_x86 LibreOffice_project/6cd4f1ef626f15116896b1d8e1398b56da0d0ee1</Application>
  <Pages>2</Pages>
  <Words>800</Words>
  <Characters>5625</Characters>
  <CharactersWithSpaces>7013</CharactersWithSpaces>
  <Paragraphs>101</Paragraphs>
  <Company>SKS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2021-07-01T11:49:00Z</dcterms:created>
  <dc:creator>Admin</dc:creator>
  <dc:description/>
  <dc:language>ru-RU</dc:language>
  <cp:lastModifiedBy/>
  <cp:lastPrinted>2022-08-01T09:25:07Z</cp:lastPrinted>
  <dcterms:modified xsi:type="dcterms:W3CDTF">2022-08-01T09:38:40Z</dcterms:modified>
  <cp:revision>14</cp:revision>
  <dc:subject/>
  <dc:title>СОГЛАСОВАНО:                                                                  УТВЕРЖДАЮ: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SKS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